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ОБЪЯВЛЕНИЕ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проведении конкурсного отбора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для предоставления в 2026 и 2027 годах субсидий из областного бюджета Ле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нинградской области бюджетам муниципальных образований Ленинградской области на реализацию мероприятий по обустройству туристского центра города на территории муниципальных образований Ленинградской области в соответствии с туристским кодом центра города 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Порядком </w:t>
      </w:r>
      <w:r>
        <w:rPr>
          <w:rFonts w:ascii="Times New Roman" w:hAnsi="Times New Roman"/>
          <w:bCs/>
          <w:sz w:val="28"/>
          <w:szCs w:val="28"/>
        </w:rPr>
        <w:t xml:space="preserve">предоставления 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мероприятий по обустройству туристского центра города на территории муниципальных образований </w:t>
      </w:r>
      <w:r>
        <w:rPr>
          <w:rFonts w:ascii="Times New Roman" w:hAnsi="Times New Roman"/>
          <w:bCs/>
          <w:sz w:val="28"/>
          <w:szCs w:val="28"/>
        </w:rPr>
        <w:t xml:space="preserve">Ленинградской области</w:t>
      </w:r>
      <w:r>
        <w:rPr>
          <w:rFonts w:ascii="Times New Roman" w:hAnsi="Times New Roman"/>
          <w:bCs/>
          <w:sz w:val="28"/>
          <w:szCs w:val="28"/>
        </w:rPr>
        <w:t xml:space="preserve">,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в рамках государственной программы Ленинградской области «Развитие внутреннего и въездного туризма  Ленинградской области», утвержденным постановлением Правительства Ленинградской области от 30 сентября 2019 года № 442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(далее – Порядок, Конкурсный отбор)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комитет по культуре и туризму Ленинградской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информирует о проведении 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онкурсного отбора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Организатор Конкурсного отбора, адрес места нахождения, контактные телефоны: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Комитет по культуре и туризму Ленинградской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Санкт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Петербург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Смольного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дом 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кабинет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2-166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7 (812)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539-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44-20, +7 (812)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539-42-57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Порядок, место и срок предоставления заявок на Конкурсный отбор: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Дата начала приема заявок 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27 октября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2025 года.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Дата окончания приема заявок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17 ноября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 16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30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(заявки, поступившие после указанных даты и часа не принимаются).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Прием заявок на участие в Конкурсном отборе осуществляется в рабочие дни по адресу: г. Санкт-Петербург, ул. Смольного, дом 3, кабинет № 2-166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с 09.00 до 16.30 (в пятницу до 15.30), обеденный перерыв с 12.00 до 13.00.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Проход в здание возможен только по заранее заказанному пропуску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за день до визита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 тел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+7 (812) </w:t>
      </w:r>
      <w:r>
        <w:rPr>
          <w:rFonts w:ascii="Times New Roman" w:hAnsi="Times New Roman"/>
          <w:sz w:val="28"/>
          <w:szCs w:val="28"/>
        </w:rPr>
        <w:t xml:space="preserve">539</w:t>
      </w:r>
      <w:r>
        <w:rPr>
          <w:rFonts w:ascii="Times New Roman" w:hAnsi="Times New Roman"/>
          <w:sz w:val="28"/>
          <w:szCs w:val="28"/>
        </w:rPr>
        <w:t xml:space="preserve">-42-57</w:t>
      </w:r>
      <w:r>
        <w:rPr>
          <w:rFonts w:ascii="Times New Roman" w:hAnsi="Times New Roman"/>
          <w:sz w:val="28"/>
          <w:szCs w:val="28"/>
        </w:rPr>
        <w:t xml:space="preserve"> или + 7 (812) </w:t>
      </w:r>
      <w:r>
        <w:rPr>
          <w:rFonts w:ascii="Times New Roman" w:hAnsi="Times New Roman"/>
          <w:sz w:val="28"/>
          <w:szCs w:val="28"/>
        </w:rPr>
        <w:t xml:space="preserve">539-</w:t>
      </w:r>
      <w:r>
        <w:rPr>
          <w:rFonts w:ascii="Times New Roman" w:hAnsi="Times New Roman"/>
          <w:sz w:val="28"/>
          <w:szCs w:val="28"/>
        </w:rPr>
        <w:t xml:space="preserve">44-20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 наличии документа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удостоверяющего личность (паспорт)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заявки, а также иная информация о Конкурсном отборе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размещена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на официальном сайте комитета по культуре и туризму Ленинградской области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далее – комитет) </w:t>
      </w:r>
      <w:r>
        <w:rPr>
          <w:rFonts w:ascii="Times New Roman" w:hAnsi="Times New Roman"/>
          <w:sz w:val="28"/>
          <w:szCs w:val="28"/>
        </w:rPr>
        <w:t xml:space="preserve">www.kit.lenobl.ru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разделе «Деятельность» - «Деятельность в сфере туризма» - «Конкурсы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сфере туризма»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Условия предоставления субсидии и критерии, которым должны соответствовать муниципальные образования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Ленинградской области (поселения, муниципальный район,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муниципальный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округ, городской округ)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для допуска к оценке заявок на предоставление су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бсидии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(далее – муниципальные образования)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Субсидия предоставляется муниципальным образованиям с населением от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1,5 тыс. до 2 млн человек,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расположенным на территории Ленинградской области и 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меющим в своем составе кварталы исторической застройки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на площади до 100 га с размещенными в ее границах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объе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ктами туристского притяжения,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обладающими благоприятными условиями для посещения и объединенными в единое привлекательное архитектурно-культурное пространство.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Критерии: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1) наличие муниципальной программы, утверждающей перечень мероприятий, соответствующих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цели, указанной в </w:t>
      </w:r>
      <w:hyperlink r:id="rId13" w:tooltip="https://login.consultant.ru/link/?req=doc&amp;base=SPB&amp;n=290152&amp;dst=108184" w:history="1">
        <w:r>
          <w:rPr>
            <w:rFonts w:ascii="Times New Roman" w:hAnsi="Times New Roman"/>
            <w:bCs/>
            <w:sz w:val="28"/>
            <w:szCs w:val="28"/>
            <w:lang w:eastAsia="ru-RU"/>
          </w:rPr>
          <w:t xml:space="preserve">пункте 2.1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Порядка;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2) наличие проекта (мастер-плана), содержащего информацию согласно </w:t>
      </w:r>
      <w:hyperlink r:id="rId14" w:tooltip="https://login.consultant.ru/link/?req=doc&amp;base=SPB&amp;n=290152&amp;dst=108219" w:history="1">
        <w:r>
          <w:rPr>
            <w:rFonts w:ascii="Times New Roman" w:hAnsi="Times New Roman"/>
            <w:bCs/>
            <w:sz w:val="28"/>
            <w:szCs w:val="28"/>
            <w:lang w:eastAsia="ru-RU"/>
          </w:rPr>
          <w:t xml:space="preserve">подпункту 4 пункта 3.3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Порядка;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3) утвержденные органом местного самоуправления границы территории туристского центра города, прошедшие общественно-экспертное обсуждение в порядке, определенном органом местного самоуправления.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Для участия в Конкурсном отборе муниципальные образования представляют в комитет заявку, включающие следующие документы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 соответствии с Порядком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заявление на предоставление субсидии по форме, утвержденной распоряжением комитета;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выписку из муниципальной программы, утверждающей перечень мероприятий, соответствующих цели, указанной в </w:t>
      </w:r>
      <w:hyperlink r:id="rId15" w:tooltip="https://login.consultant.ru/link/?req=doc&amp;base=SPB&amp;n=290152&amp;dst=108184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пункте 2.1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 Порядка;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утвержденные органом местного самоуправления границы туристского центра города, прошедшие общественно-экспертные обсуждения, содержащие обоснование границ территории туристского центра, основанное на социально-демографических,</w:t>
      </w:r>
      <w:r>
        <w:rPr>
          <w:rFonts w:ascii="Times New Roman" w:hAnsi="Times New Roman"/>
          <w:sz w:val="28"/>
          <w:szCs w:val="28"/>
          <w:lang w:eastAsia="ru-RU"/>
        </w:rPr>
        <w:t xml:space="preserve"> культурно-исторических, архитектурно-градостроительных и социально-экономических исследованиях, а также сведения о размещении информации о границах туристского центра города на официальных сайтах администрации муниципального образования в сети "Интернет";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проект (мастер-план), содержащий: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83"/>
        <w:numPr>
          <w:ilvl w:val="1"/>
          <w:numId w:val="7"/>
        </w:num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пояснительную записку;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83"/>
        <w:numPr>
          <w:ilvl w:val="1"/>
          <w:numId w:val="7"/>
        </w:num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комплекс запланированных мероприятий по обустройству территории туристского центра города;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83"/>
        <w:numPr>
          <w:ilvl w:val="1"/>
          <w:numId w:val="7"/>
        </w:num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/>
          <w:sz w:val="28"/>
          <w:szCs w:val="28"/>
          <w:lang w:eastAsia="ru-RU"/>
        </w:rPr>
        <w:t xml:space="preserve">изайн-код, утвержденный в составе правил благоустройства муниципального образования;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83"/>
        <w:numPr>
          <w:ilvl w:val="1"/>
          <w:numId w:val="7"/>
        </w:num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сметный расчет с обоснованием стоимости затрат.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Обращаем внимание! Содержание пояснительной записки и комплекса запланированных мероприяти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должно соответствовать требованиям, установленным подпунктами «а», «б»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подпункта 4 пункта 3.3 Порядка.</w:t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Рекомендуемые требования к документам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Документы предоставляются на бумажном носителе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папке скоросшивателе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заверенные подписью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печатью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главы администрации муниципального образования. Одновременно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подае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тся копия заявки, включающая все документы в электронном виде 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электронном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флеш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-накопителе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Theme="minorHAnsi"/>
          <w:sz w:val="28"/>
          <w:szCs w:val="28"/>
        </w:rPr>
        <w:outlineLvl w:val="0"/>
      </w:pP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Критерии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оценки заявок муниципальных образований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в соответствии с порядком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40"/>
        <w:gridCol w:w="5386"/>
        <w:gridCol w:w="363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Оценочный критерий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Баллы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Обоснованность выбора территории туристского центра города для реализации проекта: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синх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ронизация мероприятий, предусмотренных проектом, с иными мероприятиями, реализуемыми на территории муниципального образования в рамках национальных проектов, государственных и муниципальных программ, направленных на формирование современной городской среды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Выбор обоснован - 25 баллов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Выбор частично обоснован - 5 баллов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Выбор не обоснован - 0 баллов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Востребованность реализуемого проекта: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прогнозируемое увеличение турпотока на территории соответствующего муниципального образования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Не менее 10% - 30 баллов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От 7% до 9,99% - 15 баллов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От 4% до 6,99% - 10 баллов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От 1% до 3,99% - 5 баллов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От 0,1% до 0,99% - 0,5 баллов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Формирование идентичности туристской территории, обустраиваемой в рамках реализации проекта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Сформирована - 20 баллов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Сформирована частично - 5 баллов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Не сформирована - 0 баллов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Обеспечение взаимосвязи туристских объектов в рамках реализации проекта (объектов культурного наследия, культурных ландшафтов, туристских маршрутов, мест отдыха туристов и населения, объектов показа, смотровых площадок, пешеходных зон)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Обеспечена - 25 баллов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Обеспечена частично - 5 баллов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Не обеспечена - 0 баллов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headerReference w:type="even" r:id="rId10"/>
      <w:footerReference w:type="first" r:id="rId11"/>
      <w:footnotePr/>
      <w:endnotePr/>
      <w:type w:val="nextPage"/>
      <w:pgSz w:w="11906" w:h="16838" w:orient="portrait"/>
      <w:pgMar w:top="1134" w:right="851" w:bottom="1134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lang w:val="en-US"/>
      </w:rPr>
    </w:pPr>
    <w:r>
      <w:rPr>
        <w:lang w:val="en-US"/>
      </w:rPr>
      <w:t xml:space="preserve"> </w:t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  <w:r/>
  </w:p>
  <w:p>
    <w:pPr>
      <w:pStyle w:val="885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77"/>
    <w:next w:val="877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78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77"/>
    <w:next w:val="877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78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78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7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78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8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8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7"/>
    <w:next w:val="877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8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7"/>
    <w:next w:val="877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8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77"/>
    <w:next w:val="877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basedOn w:val="878"/>
    <w:link w:val="725"/>
    <w:uiPriority w:val="10"/>
    <w:rPr>
      <w:sz w:val="48"/>
      <w:szCs w:val="48"/>
    </w:rPr>
  </w:style>
  <w:style w:type="paragraph" w:styleId="727">
    <w:name w:val="Subtitle"/>
    <w:basedOn w:val="877"/>
    <w:next w:val="877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78"/>
    <w:link w:val="727"/>
    <w:uiPriority w:val="11"/>
    <w:rPr>
      <w:sz w:val="24"/>
      <w:szCs w:val="24"/>
    </w:rPr>
  </w:style>
  <w:style w:type="paragraph" w:styleId="729">
    <w:name w:val="Quote"/>
    <w:basedOn w:val="877"/>
    <w:next w:val="877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77"/>
    <w:next w:val="877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character" w:styleId="733">
    <w:name w:val="Header Char"/>
    <w:basedOn w:val="878"/>
    <w:link w:val="885"/>
    <w:uiPriority w:val="99"/>
  </w:style>
  <w:style w:type="character" w:styleId="734">
    <w:name w:val="Footer Char"/>
    <w:basedOn w:val="878"/>
    <w:link w:val="887"/>
    <w:uiPriority w:val="99"/>
  </w:style>
  <w:style w:type="paragraph" w:styleId="735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887"/>
    <w:uiPriority w:val="99"/>
  </w:style>
  <w:style w:type="table" w:styleId="737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Footnote Text Char"/>
    <w:link w:val="892"/>
    <w:uiPriority w:val="99"/>
    <w:rPr>
      <w:sz w:val="18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8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  <w:rPr>
      <w:rFonts w:ascii="Calibri" w:hAnsi="Calibri" w:eastAsia="Calibri" w:cs="Times New Roman"/>
    </w:rPr>
  </w:style>
  <w:style w:type="character" w:styleId="878" w:default="1">
    <w:name w:val="Default Paragraph Font"/>
    <w:uiPriority w:val="1"/>
    <w:semiHidden/>
    <w:unhideWhenUsed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>
    <w:name w:val="Balloon Text"/>
    <w:basedOn w:val="877"/>
    <w:link w:val="88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2" w:customStyle="1">
    <w:name w:val="Текст выноски Знак"/>
    <w:basedOn w:val="878"/>
    <w:link w:val="881"/>
    <w:uiPriority w:val="99"/>
    <w:semiHidden/>
    <w:rPr>
      <w:rFonts w:ascii="Tahoma" w:hAnsi="Tahoma" w:eastAsia="Calibri" w:cs="Tahoma"/>
      <w:sz w:val="16"/>
      <w:szCs w:val="16"/>
    </w:rPr>
  </w:style>
  <w:style w:type="paragraph" w:styleId="883">
    <w:name w:val="List Paragraph"/>
    <w:basedOn w:val="877"/>
    <w:uiPriority w:val="34"/>
    <w:qFormat/>
    <w:pPr>
      <w:contextualSpacing/>
      <w:ind w:left="720"/>
    </w:pPr>
  </w:style>
  <w:style w:type="character" w:styleId="884">
    <w:name w:val="Hyperlink"/>
    <w:basedOn w:val="878"/>
    <w:uiPriority w:val="99"/>
    <w:unhideWhenUsed/>
    <w:rPr>
      <w:color w:val="0000ff" w:themeColor="hyperlink"/>
      <w:u w:val="single"/>
    </w:rPr>
  </w:style>
  <w:style w:type="paragraph" w:styleId="885">
    <w:name w:val="Header"/>
    <w:basedOn w:val="877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878"/>
    <w:link w:val="885"/>
    <w:uiPriority w:val="99"/>
    <w:rPr>
      <w:rFonts w:ascii="Calibri" w:hAnsi="Calibri" w:eastAsia="Calibri" w:cs="Times New Roman"/>
    </w:rPr>
  </w:style>
  <w:style w:type="paragraph" w:styleId="887">
    <w:name w:val="Footer"/>
    <w:basedOn w:val="877"/>
    <w:link w:val="8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878"/>
    <w:link w:val="887"/>
    <w:uiPriority w:val="99"/>
    <w:rPr>
      <w:rFonts w:ascii="Calibri" w:hAnsi="Calibri" w:eastAsia="Calibri" w:cs="Times New Roman"/>
    </w:rPr>
  </w:style>
  <w:style w:type="table" w:styleId="889">
    <w:name w:val="Table Grid"/>
    <w:basedOn w:val="8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0">
    <w:name w:val="FollowedHyperlink"/>
    <w:basedOn w:val="878"/>
    <w:uiPriority w:val="99"/>
    <w:semiHidden/>
    <w:unhideWhenUsed/>
    <w:rPr>
      <w:color w:val="800080" w:themeColor="followedHyperlink"/>
      <w:u w:val="single"/>
    </w:rPr>
  </w:style>
  <w:style w:type="paragraph" w:styleId="891" w:customStyle="1">
    <w:name w:val="ConsPlusNormal"/>
    <w:qFormat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92">
    <w:name w:val="footnote text"/>
    <w:basedOn w:val="877"/>
    <w:link w:val="893"/>
    <w:uiPriority w:val="99"/>
    <w:unhideWhenUsed/>
    <w:pPr>
      <w:ind w:left="1992" w:firstLine="710"/>
      <w:jc w:val="both"/>
      <w:spacing w:after="0" w:line="240" w:lineRule="auto"/>
    </w:pPr>
    <w:rPr>
      <w:rFonts w:ascii="Times New Roman" w:hAnsi="Times New Roman" w:eastAsia="Times New Roman"/>
      <w:color w:val="000000"/>
      <w:sz w:val="20"/>
      <w:szCs w:val="20"/>
    </w:rPr>
  </w:style>
  <w:style w:type="character" w:styleId="893" w:customStyle="1">
    <w:name w:val="Текст сноски Знак"/>
    <w:basedOn w:val="878"/>
    <w:link w:val="892"/>
    <w:uiPriority w:val="99"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 w:customStyle="1">
    <w:name w:val="formattext"/>
    <w:basedOn w:val="877"/>
    <w:qFormat/>
    <w:pPr>
      <w:spacing w:beforeAutospacing="1" w:after="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6">
    <w:name w:val="Strong"/>
    <w:basedOn w:val="878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SPB&amp;n=290152&amp;dst=108184" TargetMode="External"/><Relationship Id="rId14" Type="http://schemas.openxmlformats.org/officeDocument/2006/relationships/hyperlink" Target="https://login.consultant.ru/link/?req=doc&amp;base=SPB&amp;n=290152&amp;dst=108219" TargetMode="External"/><Relationship Id="rId15" Type="http://schemas.openxmlformats.org/officeDocument/2006/relationships/hyperlink" Target="https://login.consultant.ru/link/?req=doc&amp;base=SPB&amp;n=290152&amp;dst=10818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D217-5951-476D-A3D5-1C149C62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Трифонова</dc:creator>
  <cp:lastModifiedBy>po_chemarina</cp:lastModifiedBy>
  <cp:revision>5</cp:revision>
  <dcterms:created xsi:type="dcterms:W3CDTF">2025-01-21T08:58:00Z</dcterms:created>
  <dcterms:modified xsi:type="dcterms:W3CDTF">2025-10-24T12:01:11Z</dcterms:modified>
</cp:coreProperties>
</file>