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27" w:rsidRDefault="00A82E2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2E27" w:rsidRDefault="00A82E27">
      <w:pPr>
        <w:pStyle w:val="ConsPlusNormal"/>
        <w:outlineLvl w:val="0"/>
      </w:pPr>
    </w:p>
    <w:p w:rsidR="00A82E27" w:rsidRDefault="00A82E2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82E27" w:rsidRDefault="00A82E27">
      <w:pPr>
        <w:pStyle w:val="ConsPlusTitle"/>
        <w:jc w:val="center"/>
      </w:pPr>
    </w:p>
    <w:p w:rsidR="00A82E27" w:rsidRDefault="00A82E27">
      <w:pPr>
        <w:pStyle w:val="ConsPlusTitle"/>
        <w:jc w:val="center"/>
      </w:pPr>
      <w:r>
        <w:t>ПОСТАНОВЛЕНИЕ</w:t>
      </w:r>
    </w:p>
    <w:p w:rsidR="00A82E27" w:rsidRDefault="00A82E27">
      <w:pPr>
        <w:pStyle w:val="ConsPlusTitle"/>
        <w:jc w:val="center"/>
      </w:pPr>
      <w:r>
        <w:t>от 29 декабря 2023 г. N 985</w:t>
      </w:r>
    </w:p>
    <w:p w:rsidR="00A82E27" w:rsidRDefault="00A82E27">
      <w:pPr>
        <w:pStyle w:val="ConsPlusTitle"/>
        <w:jc w:val="center"/>
      </w:pPr>
    </w:p>
    <w:p w:rsidR="00A82E27" w:rsidRDefault="00A82E27">
      <w:pPr>
        <w:pStyle w:val="ConsPlusTitle"/>
        <w:jc w:val="center"/>
      </w:pPr>
      <w:r>
        <w:t>О ДОПОЛНИТЕЛЬНОЙ МЕРЕ СОЦИАЛЬНОЙ ПОДДЕРЖКИ МОЛОДЫХ</w:t>
      </w:r>
    </w:p>
    <w:p w:rsidR="00A82E27" w:rsidRDefault="00A82E27">
      <w:pPr>
        <w:pStyle w:val="ConsPlusTitle"/>
        <w:jc w:val="center"/>
      </w:pPr>
      <w:r>
        <w:t>СПЕЦИАЛИСТОВ В ЛЕНИНГРАДСКОЙ ОБЛАСТИ И ПРИЗНАНИИ</w:t>
      </w:r>
    </w:p>
    <w:p w:rsidR="00A82E27" w:rsidRDefault="00A82E27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ПОСТАНОВЛЕНИЙ</w:t>
      </w:r>
      <w:bookmarkStart w:id="0" w:name="_GoBack"/>
      <w:bookmarkEnd w:id="0"/>
    </w:p>
    <w:p w:rsidR="00A82E27" w:rsidRDefault="00A82E27">
      <w:pPr>
        <w:pStyle w:val="ConsPlusTitle"/>
        <w:jc w:val="center"/>
      </w:pPr>
      <w:r>
        <w:t>ПРАВИТЕЛЬСТВА ЛЕНИНГРАДСКОЙ ОБЛАСТИ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Правительство Ленинградской области постановляет: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  <w:r>
        <w:t>1. Установить дополнительную меру социальной поддержки молодых специалистов в Ленинградской области в виде единовременной выплаты в размере 100000 рублей.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2. Утвердить:</w:t>
      </w:r>
    </w:p>
    <w:p w:rsidR="00A82E27" w:rsidRDefault="00A82E27">
      <w:pPr>
        <w:pStyle w:val="ConsPlusNormal"/>
        <w:spacing w:before="220"/>
        <w:ind w:firstLine="540"/>
        <w:jc w:val="both"/>
      </w:pPr>
      <w:hyperlink w:anchor="P37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молодых специалистов в Ленинградской области в виде единовременной выплаты согласно приложению 1;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форму </w:t>
      </w:r>
      <w:hyperlink w:anchor="P108">
        <w:r>
          <w:rPr>
            <w:color w:val="0000FF"/>
          </w:rPr>
          <w:t>договора</w:t>
        </w:r>
      </w:hyperlink>
      <w:r>
        <w:t xml:space="preserve"> о предоставлении социальной поддержки молодому специалисту согласно приложению 2.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3. Признать утратившими силу полностью или частично постановления Правительства Ленинградской области согласно </w:t>
      </w:r>
      <w:hyperlink w:anchor="P270">
        <w:r>
          <w:rPr>
            <w:color w:val="0000FF"/>
          </w:rPr>
          <w:t>приложению 3</w:t>
        </w:r>
      </w:hyperlink>
      <w:r>
        <w:t>.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4. </w:t>
      </w:r>
      <w:proofErr w:type="gramStart"/>
      <w:r>
        <w:t xml:space="preserve">Установить, что договоры о предоставлении социальной поддержки молодому специалисту, заключенные в порядке, установленном постановлениями Правительства Ленинградской области от 28 декабря 2007 года </w:t>
      </w:r>
      <w:hyperlink r:id="rId7">
        <w:r>
          <w:rPr>
            <w:color w:val="0000FF"/>
          </w:rPr>
          <w:t>N 339</w:t>
        </w:r>
      </w:hyperlink>
      <w:r>
        <w:t xml:space="preserve"> "О социальной поддержке молодых специалистов в Ленинградской области" и от 7 апреля 2008 года </w:t>
      </w:r>
      <w:hyperlink r:id="rId8">
        <w:r>
          <w:rPr>
            <w:color w:val="0000FF"/>
          </w:rPr>
          <w:t>N 71</w:t>
        </w:r>
      </w:hyperlink>
      <w:r>
        <w:t xml:space="preserve"> "Об утверждении Положения о порядке осуществления мер социальной поддержки молодых специалистов в Ленинградской области", сохраняют свою силу до окончания срока</w:t>
      </w:r>
      <w:proofErr w:type="gramEnd"/>
      <w:r>
        <w:t xml:space="preserve"> действия таких договоров.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5. Органам исполнительной власти Ленинградской области в срок до 1 марта 2024 года организовать заключение дополнительных соглашений к договорам о предоставлении социальной поддержки молодому специалисту, указанным в </w:t>
      </w:r>
      <w:hyperlink w:anchor="P18">
        <w:r>
          <w:rPr>
            <w:color w:val="0000FF"/>
          </w:rPr>
          <w:t>пункте 4</w:t>
        </w:r>
      </w:hyperlink>
      <w:r>
        <w:t xml:space="preserve"> настоящего постановления, в части увеличения размера единовременной выплаты, перечисляемой после 1 января 2024 года, с 56500 рублей до 100000 рублей.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1 января 2024 года.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jc w:val="right"/>
      </w:pPr>
      <w:r>
        <w:t>Губернатор</w:t>
      </w:r>
    </w:p>
    <w:p w:rsidR="00A82E27" w:rsidRDefault="00A82E27">
      <w:pPr>
        <w:pStyle w:val="ConsPlusNormal"/>
        <w:jc w:val="right"/>
      </w:pPr>
      <w:r>
        <w:t>Ленинградской области</w:t>
      </w:r>
    </w:p>
    <w:p w:rsidR="00A82E27" w:rsidRDefault="00A82E27">
      <w:pPr>
        <w:pStyle w:val="ConsPlusNormal"/>
        <w:jc w:val="right"/>
      </w:pPr>
      <w:r>
        <w:t>А.Дрозденко</w:t>
      </w:r>
    </w:p>
    <w:p w:rsidR="00A82E27" w:rsidRDefault="00A82E27">
      <w:pPr>
        <w:pStyle w:val="ConsPlusNormal"/>
        <w:jc w:val="right"/>
      </w:pPr>
    </w:p>
    <w:p w:rsidR="00A82E27" w:rsidRDefault="00A82E27">
      <w:pPr>
        <w:pStyle w:val="ConsPlusNormal"/>
        <w:jc w:val="right"/>
      </w:pPr>
    </w:p>
    <w:p w:rsidR="00A82E27" w:rsidRDefault="00A82E27">
      <w:pPr>
        <w:pStyle w:val="ConsPlusNormal"/>
        <w:jc w:val="right"/>
      </w:pPr>
    </w:p>
    <w:p w:rsidR="00A82E27" w:rsidRDefault="00A82E27">
      <w:pPr>
        <w:pStyle w:val="ConsPlusNormal"/>
        <w:jc w:val="right"/>
      </w:pPr>
    </w:p>
    <w:p w:rsidR="00A82E27" w:rsidRDefault="00A82E27">
      <w:pPr>
        <w:pStyle w:val="ConsPlusNormal"/>
        <w:jc w:val="right"/>
      </w:pPr>
    </w:p>
    <w:p w:rsidR="00A82E27" w:rsidRDefault="00A82E27">
      <w:pPr>
        <w:pStyle w:val="ConsPlusNormal"/>
        <w:jc w:val="right"/>
        <w:outlineLvl w:val="0"/>
      </w:pPr>
      <w:r>
        <w:t>УТВЕРЖДЕН</w:t>
      </w:r>
    </w:p>
    <w:p w:rsidR="00A82E27" w:rsidRDefault="00A82E27">
      <w:pPr>
        <w:pStyle w:val="ConsPlusNormal"/>
        <w:jc w:val="right"/>
      </w:pPr>
      <w:r>
        <w:t>постановлением Правительства</w:t>
      </w:r>
    </w:p>
    <w:p w:rsidR="00A82E27" w:rsidRDefault="00A82E27">
      <w:pPr>
        <w:pStyle w:val="ConsPlusNormal"/>
        <w:jc w:val="right"/>
      </w:pPr>
      <w:r>
        <w:t>Ленинградской области</w:t>
      </w:r>
    </w:p>
    <w:p w:rsidR="00A82E27" w:rsidRDefault="00A82E27">
      <w:pPr>
        <w:pStyle w:val="ConsPlusNormal"/>
        <w:jc w:val="right"/>
      </w:pPr>
      <w:r>
        <w:t>от 29.12.2023 N 985</w:t>
      </w:r>
    </w:p>
    <w:p w:rsidR="00A82E27" w:rsidRDefault="00A82E27">
      <w:pPr>
        <w:pStyle w:val="ConsPlusNormal"/>
        <w:jc w:val="right"/>
      </w:pPr>
      <w:r>
        <w:t>(приложение 1)</w:t>
      </w:r>
    </w:p>
    <w:p w:rsidR="00A82E27" w:rsidRDefault="00A82E27">
      <w:pPr>
        <w:pStyle w:val="ConsPlusNormal"/>
        <w:jc w:val="right"/>
      </w:pPr>
    </w:p>
    <w:p w:rsidR="00A82E27" w:rsidRDefault="00A82E27">
      <w:pPr>
        <w:pStyle w:val="ConsPlusTitle"/>
        <w:jc w:val="center"/>
      </w:pPr>
      <w:bookmarkStart w:id="2" w:name="P37"/>
      <w:bookmarkEnd w:id="2"/>
      <w:r>
        <w:t>ПОРЯДОК</w:t>
      </w:r>
    </w:p>
    <w:p w:rsidR="00A82E27" w:rsidRDefault="00A82E27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A82E27" w:rsidRDefault="00A82E27">
      <w:pPr>
        <w:pStyle w:val="ConsPlusTitle"/>
        <w:jc w:val="center"/>
      </w:pPr>
      <w:r>
        <w:t>МОЛОДЫХ СПЕЦИАЛИСТОВ В ЛЕНИНГРАДСКОЙ ОБЛАСТИ В ВИДЕ</w:t>
      </w:r>
    </w:p>
    <w:p w:rsidR="00A82E27" w:rsidRDefault="00A82E27">
      <w:pPr>
        <w:pStyle w:val="ConsPlusTitle"/>
        <w:jc w:val="center"/>
      </w:pPr>
      <w:r>
        <w:t>ЕДИНОВРЕМЕННОЙ ВЫПЛАТЫ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  <w:r>
        <w:t>1. Настоящий Порядок определяет основания, условия и механизм предоставления дополнительной меры социальной поддержки молодых специалистов в Ленинградской области в виде единовременной выплаты в размере 100000 рублей.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2. Для целей настоящего Порядка применяются следующие понятия: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комитет - отраслевой орган исполнительной власти Ленинградской области, реализующий функции главного распорядителя средств областного бюджета Ленинградской области и осуществляющий на территории Ленинградской области в пределах своих полномочий государственное управление в соответствующей отрасли;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3" w:name="P45"/>
      <w:bookmarkEnd w:id="3"/>
      <w:r>
        <w:t>учреждение - государственное (муниципальное) учреждение Ленинградской области или подведомственная федеральным органам исполнительной власти медицинская организация, участвующая в реализации Территориальной программы государственных гарантий бесплатного оказания гражданам медицинской помощи в Ленинградской области и имеющая прикрепленное население, с которым (которой) молодой специалист заключил договор о предоставлении социальной поддержки молодому специалисту;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договор о предоставлении социальной поддержки молодому специалисту - договор о предоставлении дополнительной меры социальной поддержки в виде единовременной выплаты из областного бюджета Ленинградской области в размере 100000 рублей молодому специалисту, заключенный между молодым специалистом, учреждением и комитетом по форме, утвержденной постановлением Правительства Ленинградской области (далее - договор о социальной поддержке);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документ об образовании - документ государственного образца о среднем профессиональном образовании или о высшем образовании (высшем профессиональном образовании), выданный после 1 января 2008 года;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4" w:name="P48"/>
      <w:bookmarkEnd w:id="4"/>
      <w:r>
        <w:t xml:space="preserve">молодой специалист - гражданин Российской Федерации в возрасте до 35 </w:t>
      </w:r>
      <w:proofErr w:type="gramStart"/>
      <w:r>
        <w:t>лет</w:t>
      </w:r>
      <w:proofErr w:type="gramEnd"/>
      <w:r>
        <w:t xml:space="preserve"> включительно, заключивший трудовой договор с учреждением и имеющий документ об образовании;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пособие - единовременная выплата, ежегодно выплачиваемая из областного бюджета Ленинградской области молодому специалисту, заключившему договор о социальной поддержке;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трудовой договор - трудовой договор, заключенный между молодым специалистом и учреждением на неопределенный срок 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ставки).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3. Возраст и гражданство молодого специалиста, а также наличие у него документа об </w:t>
      </w:r>
      <w:r>
        <w:lastRenderedPageBreak/>
        <w:t>образовании определяются на дату заключения договора о социальной поддержке.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4. Учреждение в срок не позднее шести месяцев </w:t>
      </w:r>
      <w:proofErr w:type="gramStart"/>
      <w:r>
        <w:t>с даты заключения</w:t>
      </w:r>
      <w:proofErr w:type="gramEnd"/>
      <w:r>
        <w:t xml:space="preserve"> трудового договора с молодым специалистом письменно уведомляет молодого специалиста о возможности предоставления дополнительной меры социальной поддержки в соответствии с настоящим Порядком.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5. Для получения дополнительной меры социальной поддержки молодой специалист в срок не </w:t>
      </w:r>
      <w:proofErr w:type="gramStart"/>
      <w:r>
        <w:t>позднее</w:t>
      </w:r>
      <w:proofErr w:type="gramEnd"/>
      <w:r>
        <w:t xml:space="preserve"> чем за один календарный месяц до истечения первого года его работы, исчисленного с учетом </w:t>
      </w:r>
      <w:hyperlink w:anchor="P90">
        <w:r>
          <w:rPr>
            <w:color w:val="0000FF"/>
          </w:rPr>
          <w:t>пункта 18</w:t>
        </w:r>
      </w:hyperlink>
      <w:r>
        <w:t xml:space="preserve"> настоящего Порядка, представляет в учреждение, в котором он осуществляет трудовую деятельность, следующие документы: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заявление о предоставлении дополнительной меры социальной поддержки;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согласие на обработку персональных данных;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документ об образовании;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реквизиты банковского счета для перечисления пособия;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свидетельство о постановке на учет физического лица в налоговом органе на территории Российской Федерации.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Молодой специалист несет ответственность за достоверность представленных документов.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Сотрудник учреждения, осуществляющий прием документов, указанных в настоящем пункте, заверяет копии документов и возвращает оригиналы документов молодому специалисту.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6. В течение трех рабочих дней </w:t>
      </w:r>
      <w:proofErr w:type="gramStart"/>
      <w:r>
        <w:t>с даты представления</w:t>
      </w:r>
      <w:proofErr w:type="gramEnd"/>
      <w:r>
        <w:t xml:space="preserve"> молодым специалистом документов, указанных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Порядка, учреждение оформляет проект договора о социальной поддержке.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6" w:name="P63"/>
      <w:bookmarkEnd w:id="6"/>
      <w:r>
        <w:t xml:space="preserve">7. На основании документов, представленных молодым специалистом в соответствии с </w:t>
      </w:r>
      <w:hyperlink w:anchor="P53">
        <w:r>
          <w:rPr>
            <w:color w:val="0000FF"/>
          </w:rPr>
          <w:t>пунктом 5</w:t>
        </w:r>
      </w:hyperlink>
      <w:r>
        <w:t xml:space="preserve"> настоящего Порядка, учреждение в срок не </w:t>
      </w:r>
      <w:proofErr w:type="gramStart"/>
      <w:r>
        <w:t>позднее</w:t>
      </w:r>
      <w:proofErr w:type="gramEnd"/>
      <w:r>
        <w:t xml:space="preserve"> чем за 15 рабочих дней до истечения первого года работы молодого специалиста, исчисленного с учетом </w:t>
      </w:r>
      <w:hyperlink w:anchor="P90">
        <w:r>
          <w:rPr>
            <w:color w:val="0000FF"/>
          </w:rPr>
          <w:t>пункта 18</w:t>
        </w:r>
      </w:hyperlink>
      <w:r>
        <w:t xml:space="preserve"> настоящего Порядка, направляет в комитет с сопроводительным письмом проект договора о социальной поддержке в трех экземплярах, подписанный руководителем учреждения и молодым специалистом.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К проекту договора о социальной поддержке прилагаются: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заверенная учреждением копия трудового договора молодого специалиста;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выписка из Единого государственного реестра юридических лиц, выданная учреждению не </w:t>
      </w:r>
      <w:proofErr w:type="gramStart"/>
      <w:r>
        <w:t>позднее</w:t>
      </w:r>
      <w:proofErr w:type="gramEnd"/>
      <w:r>
        <w:t xml:space="preserve"> чем за 30 рабочих дней до даты заключения договора о социальной поддержке;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заверенная учреждением копия устава учреждения;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заверенная учреждением копия трудовой книжки </w:t>
      </w:r>
      <w:proofErr w:type="gramStart"/>
      <w:r>
        <w:t>и(</w:t>
      </w:r>
      <w:proofErr w:type="gramEnd"/>
      <w:r>
        <w:t>или) сведения о трудовой деятельности молодого специалиста, представляемые из информационных ресурсов Фонда пенсионного и социального страхования Российской Федерации, по форме СТД-СФР;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заверенные учреждением копии документов, указанных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В случае если в течение первого года работы молодого специалиста имели место периоды, </w:t>
      </w:r>
      <w:r>
        <w:lastRenderedPageBreak/>
        <w:t xml:space="preserve">указанные в </w:t>
      </w:r>
      <w:hyperlink w:anchor="P90">
        <w:r>
          <w:rPr>
            <w:color w:val="0000FF"/>
          </w:rPr>
          <w:t>пункте 18</w:t>
        </w:r>
      </w:hyperlink>
      <w:r>
        <w:t xml:space="preserve"> настоящего Порядка, к сопроводительному письму также прилагаются заверенные копии документов, подтверждающих наличие таких периодов.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8. Комитет в течение пяти рабочих дней </w:t>
      </w:r>
      <w:proofErr w:type="gramStart"/>
      <w:r>
        <w:t>с даты поступления</w:t>
      </w:r>
      <w:proofErr w:type="gramEnd"/>
      <w:r>
        <w:t xml:space="preserve"> от учреждения проекта договора о социальной поддержке и прилагаемых к нему документов принимает решение о предоставлении дополнительной меры социальной поддержки либо об отказе в предоставлении дополнительной меры социальной поддержки.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Решение о предоставлении (отказе в предоставлении) дополнительной меры социальной поддержки оформляется правовым актом комитета.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9. В случае принятия решения о предоставлении дополнительной меры социальной поддержки комитет подписывает договор о социальной поддержке и направляет два экземпляра учреждению в течение 15 рабочих дней </w:t>
      </w:r>
      <w:proofErr w:type="gramStart"/>
      <w:r>
        <w:t>с даты поступления</w:t>
      </w:r>
      <w:proofErr w:type="gramEnd"/>
      <w:r>
        <w:t xml:space="preserve"> в комитет проекта договора о социальной поддержке.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10. Основаниями для отказа в предоставлении дополнительной меры социальной поддержки являются следующие случаи: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1) проект договора о социальной поддержке не соответствует установленной форме </w:t>
      </w:r>
      <w:proofErr w:type="gramStart"/>
      <w:r>
        <w:t>и(</w:t>
      </w:r>
      <w:proofErr w:type="gramEnd"/>
      <w:r>
        <w:t>или) не подписан руководителем учреждения и(или) молодым специалистом;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2) к проекту договора о социальной поддержке не приложены документы, указанные в </w:t>
      </w:r>
      <w:hyperlink w:anchor="P63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3) учреждение </w:t>
      </w:r>
      <w:proofErr w:type="gramStart"/>
      <w:r>
        <w:t>и(</w:t>
      </w:r>
      <w:proofErr w:type="gramEnd"/>
      <w:r>
        <w:t xml:space="preserve">или) молодой специалист не соответствует условиям, указанным в </w:t>
      </w:r>
      <w:hyperlink w:anchor="P4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48">
        <w:r>
          <w:rPr>
            <w:color w:val="0000FF"/>
          </w:rPr>
          <w:t>шестом пункта 2</w:t>
        </w:r>
      </w:hyperlink>
      <w:r>
        <w:t xml:space="preserve"> настоящего Порядка;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4) с молодым специалистом ранее заключался договор о социальной поддержке.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11. Правовой акт комитета, содержащий мотивированный отказ в предоставлении дополнительной меры социальной поддержки с указанием причин отказа, направляется комитетом руководителю учреждения в течение 10 рабочих дней </w:t>
      </w:r>
      <w:proofErr w:type="gramStart"/>
      <w:r>
        <w:t>с даты получения</w:t>
      </w:r>
      <w:proofErr w:type="gramEnd"/>
      <w:r>
        <w:t xml:space="preserve"> комитетом проекта договора о социальной поддержке и прилагаемых к нему документов.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12. Молодой специали</w:t>
      </w:r>
      <w:proofErr w:type="gramStart"/>
      <w:r>
        <w:t>ст впр</w:t>
      </w:r>
      <w:proofErr w:type="gramEnd"/>
      <w:r>
        <w:t>аве повторно обратиться за предоставлением дополнительной меры социальной поддержки после устранения причин, послуживших основанием для отказа в ее предоставлении, в течение 10 рабочих дней со дня устранения таких причин.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Срок рассмотрения повторно представленных документов исчисляется с даты их поступления в комитет.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Повторно представленные документы рассматриваются в порядке, определенном </w:t>
      </w:r>
      <w:hyperlink w:anchor="P71">
        <w:r>
          <w:rPr>
            <w:color w:val="0000FF"/>
          </w:rPr>
          <w:t>пунктами 8</w:t>
        </w:r>
      </w:hyperlink>
      <w:r>
        <w:t xml:space="preserve"> - </w:t>
      </w:r>
      <w:hyperlink w:anchor="P79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13. Договор о социальной поддержке заключается на основании трудового договора и по окончании испытательного срока, если такой срок был установлен молодому специалисту при приеме на работу.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9" w:name="P84"/>
      <w:bookmarkEnd w:id="9"/>
      <w:r>
        <w:t xml:space="preserve">14. Исполнение обязательств по договору о социальной поддержке приостанавливается </w:t>
      </w:r>
      <w:proofErr w:type="gramStart"/>
      <w:r>
        <w:t>с даты прекращения</w:t>
      </w:r>
      <w:proofErr w:type="gramEnd"/>
      <w:r>
        <w:t xml:space="preserve"> трудового договора в связи с призывом молодого специалиста на военную службу или направлением на заменяющую ее альтернативную гражданскую службу до момента заключения нового трудового договора.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Трудовой договор должен быть заключен с учреждением в течение 30 календарных дней со дня окончания военной службы (альтернативной гражданской службы) на неопределенный срок </w:t>
      </w:r>
      <w:r>
        <w:lastRenderedPageBreak/>
        <w:t>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ставки).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В случае несоблюдения молодым специалистом срока заключения трудового договора, указанного в настоящем пункте, договор о социальной поддержке прекращает свое действие.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15. Пособие перечисляется на банковский счет молодого специалиста, указанный в договоре о социальной поддержке, ежегодно по истечении первого, второго и третьего года работы молодого специалиста в учреждении, если на дату совершения соответствующей банковской операции трудовой договор и договор о социальной поддержке продолжали действовать.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16. Размер пособия, выплачиваемого молодому специалисту по истечении первого, второго или третьего года работы, соответствует размеру пособия, действующему на дату истечения первого, второго или третьего года работы соответственно.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17. Перечисление пособия осуществляется в течение 30 календарных дней со дня окончания каждого года работы молодого специалиста по трудовому договору, исчисленного с учетом </w:t>
      </w:r>
      <w:hyperlink w:anchor="P90">
        <w:r>
          <w:rPr>
            <w:color w:val="0000FF"/>
          </w:rPr>
          <w:t>пункта 18</w:t>
        </w:r>
      </w:hyperlink>
      <w:r>
        <w:t xml:space="preserve"> настоящего Порядка. Сведения о дате окончания года работы молодого специалиста направляются учреждением в комитет не </w:t>
      </w:r>
      <w:proofErr w:type="gramStart"/>
      <w:r>
        <w:t>позднее</w:t>
      </w:r>
      <w:proofErr w:type="gramEnd"/>
      <w:r>
        <w:t xml:space="preserve"> чем за пять рабочих дней до даты окончания года работы молодого специалиста.</w:t>
      </w:r>
    </w:p>
    <w:p w:rsidR="00A82E27" w:rsidRDefault="00A82E27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18. В год работы, за который предоставляется пособие, не включаются: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время отсутствия молодого специалиста на работе без уважительных причин, в том числе вследствие его отстранения от работы в случаях, предусмотренных </w:t>
      </w:r>
      <w:hyperlink r:id="rId9">
        <w:r>
          <w:rPr>
            <w:color w:val="0000FF"/>
          </w:rPr>
          <w:t>статьей 76</w:t>
        </w:r>
      </w:hyperlink>
      <w:r>
        <w:t xml:space="preserve"> Трудового кодекса Российской Федерации;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время отпусков по уходу за ребенком до </w:t>
      </w:r>
      <w:proofErr w:type="gramStart"/>
      <w:r>
        <w:t>достижения</w:t>
      </w:r>
      <w:proofErr w:type="gramEnd"/>
      <w:r>
        <w:t xml:space="preserve"> им установленного законом возраста;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время предоставляемых по просьбе молодого специалиста отпусков без сохранения заработной платы, превышающее 14 календарных дней в течение рабочего года;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время, в течение которого исполнение обязательств по договору о социальной поддержке было приостановлено.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jc w:val="right"/>
        <w:outlineLvl w:val="0"/>
      </w:pPr>
      <w:r>
        <w:t>УТВЕРЖДЕНА</w:t>
      </w:r>
    </w:p>
    <w:p w:rsidR="00A82E27" w:rsidRDefault="00A82E27">
      <w:pPr>
        <w:pStyle w:val="ConsPlusNormal"/>
        <w:jc w:val="right"/>
      </w:pPr>
      <w:r>
        <w:t>постановлением Правительства</w:t>
      </w:r>
    </w:p>
    <w:p w:rsidR="00A82E27" w:rsidRDefault="00A82E27">
      <w:pPr>
        <w:pStyle w:val="ConsPlusNormal"/>
        <w:jc w:val="right"/>
      </w:pPr>
      <w:r>
        <w:t>Ленинградской области</w:t>
      </w:r>
    </w:p>
    <w:p w:rsidR="00A82E27" w:rsidRDefault="00A82E27">
      <w:pPr>
        <w:pStyle w:val="ConsPlusNormal"/>
        <w:jc w:val="right"/>
      </w:pPr>
      <w:r>
        <w:t>от 29.12.2023 N 985</w:t>
      </w:r>
    </w:p>
    <w:p w:rsidR="00A82E27" w:rsidRDefault="00A82E27">
      <w:pPr>
        <w:pStyle w:val="ConsPlusNormal"/>
        <w:jc w:val="right"/>
      </w:pPr>
      <w:r>
        <w:t>(приложение 2)</w:t>
      </w:r>
    </w:p>
    <w:p w:rsidR="00A82E27" w:rsidRDefault="00A82E27">
      <w:pPr>
        <w:pStyle w:val="ConsPlusNormal"/>
      </w:pPr>
    </w:p>
    <w:p w:rsidR="00A82E27" w:rsidRDefault="00A82E27">
      <w:pPr>
        <w:pStyle w:val="ConsPlusNormal"/>
      </w:pPr>
      <w:r>
        <w:t>(Форма)</w:t>
      </w:r>
    </w:p>
    <w:p w:rsidR="00A82E27" w:rsidRDefault="00A82E2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3"/>
        <w:gridCol w:w="1440"/>
        <w:gridCol w:w="674"/>
        <w:gridCol w:w="1470"/>
        <w:gridCol w:w="3569"/>
        <w:gridCol w:w="345"/>
      </w:tblGrid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bookmarkStart w:id="11" w:name="P108"/>
            <w:bookmarkEnd w:id="11"/>
            <w:r>
              <w:t>ДОГОВОР</w:t>
            </w:r>
          </w:p>
          <w:p w:rsidR="00A82E27" w:rsidRDefault="00A82E27">
            <w:pPr>
              <w:pStyle w:val="ConsPlusNormal"/>
              <w:jc w:val="center"/>
            </w:pPr>
            <w:r>
              <w:t>о предоставлении социальной поддержки молодому специалисту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right"/>
            </w:pPr>
            <w:r>
              <w:t>"___" ___________ 20__ года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ind w:firstLine="283"/>
              <w:jc w:val="both"/>
            </w:pPr>
            <w:r>
              <w:lastRenderedPageBreak/>
              <w:t>Гражданин (гражданка)</w:t>
            </w: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,</w:t>
            </w:r>
          </w:p>
        </w:tc>
      </w:tr>
      <w:tr w:rsidR="00A82E27"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  <w:r>
              <w:t>дата рождения _____________________, паспорт ______________________________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(серия, номер, кем и когда выдан)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  <w:proofErr w:type="gramStart"/>
            <w:r>
              <w:t>зарегистрированный</w:t>
            </w:r>
            <w:proofErr w:type="gramEnd"/>
            <w:r>
              <w:t xml:space="preserve"> (зарегистрированная) по адресу: ___________________________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  <w:r>
              <w:t xml:space="preserve">ИНН _________________________, </w:t>
            </w:r>
            <w:proofErr w:type="gramStart"/>
            <w:r>
              <w:t>именуемый</w:t>
            </w:r>
            <w:proofErr w:type="gramEnd"/>
            <w:r>
              <w:t xml:space="preserve"> (именуемая) в дальнейшем Молодой</w:t>
            </w:r>
          </w:p>
        </w:tc>
      </w:tr>
      <w:tr w:rsidR="00A82E27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  <w:r>
              <w:t>специалист,</w:t>
            </w:r>
          </w:p>
        </w:tc>
        <w:tc>
          <w:tcPr>
            <w:tcW w:w="7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proofErr w:type="gramStart"/>
            <w:r>
              <w:t>(наименование государственного (муниципального)</w:t>
            </w:r>
            <w:proofErr w:type="gramEnd"/>
          </w:p>
        </w:tc>
      </w:tr>
      <w:tr w:rsidR="00A82E27">
        <w:tc>
          <w:tcPr>
            <w:tcW w:w="8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,</w:t>
            </w:r>
          </w:p>
        </w:tc>
      </w:tr>
      <w:tr w:rsidR="00A82E27"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учреждения (образовательной организации)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именуемое в дальнейшем Учреждение (Организация), в лице руководителя Учреждения (Организации)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proofErr w:type="gramStart"/>
            <w:r>
              <w:t>(должность,</w:t>
            </w:r>
            <w:proofErr w:type="gramEnd"/>
          </w:p>
        </w:tc>
      </w:tr>
      <w:tr w:rsidR="00A82E27">
        <w:tc>
          <w:tcPr>
            <w:tcW w:w="8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,</w:t>
            </w:r>
          </w:p>
        </w:tc>
      </w:tr>
      <w:tr w:rsidR="00A82E27"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фамилия, имя, отчество)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  <w:r>
              <w:t>действующего на основании Устава Учреждения (Организации), и &lt;*&gt;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proofErr w:type="gramStart"/>
            <w:r>
              <w:t>(наименование органа</w:t>
            </w:r>
            <w:proofErr w:type="gramEnd"/>
          </w:p>
        </w:tc>
      </w:tr>
      <w:tr w:rsidR="00A82E27">
        <w:tc>
          <w:tcPr>
            <w:tcW w:w="8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,</w:t>
            </w:r>
          </w:p>
        </w:tc>
      </w:tr>
      <w:tr w:rsidR="00A82E27"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исполнительной власти Ленинградской области)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  <w:r>
              <w:t>именуемый в дальнейшем Комитет, в лице &lt;*&gt;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proofErr w:type="gramStart"/>
            <w:r>
              <w:t>(должность,</w:t>
            </w:r>
            <w:proofErr w:type="gramEnd"/>
          </w:p>
        </w:tc>
      </w:tr>
      <w:tr w:rsidR="00A82E27">
        <w:tc>
          <w:tcPr>
            <w:tcW w:w="8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,</w:t>
            </w:r>
          </w:p>
        </w:tc>
      </w:tr>
      <w:tr w:rsidR="00A82E27"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фамилия, имя, отчество)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&lt;*&gt;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</w:p>
        </w:tc>
      </w:tr>
      <w:tr w:rsidR="00A82E27">
        <w:tc>
          <w:tcPr>
            <w:tcW w:w="8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,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заключили настоящий договор (далее - Договор о предоставлении социальной поддержки) о следующем: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lastRenderedPageBreak/>
              <w:t>1. Молодой специалист обязуется: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1.1. Исполнять обязательства, вытекающие из трудового договора N _____ от "___"________ 20__ года, который заключен между Молодым специалистом и Учреждением (Организацией) на неопределенный срок 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ставки) (далее - Трудовой договор).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1.2. </w:t>
            </w:r>
            <w:proofErr w:type="gramStart"/>
            <w:r>
              <w:t>Не менее чем за две недели до предполагаемой даты расторжения Трудового договора в письменном виде сообщить Учреждению (Организации) и Комитету о намерении досрочно расторгнуть Трудовой договор, либо перейти в другое государственное (муниципальное) учреждение (образовательную организацию) по переводу, либо изменить условие Трудового договора о работе на условиях нормальной продолжительности рабочего времени, установленной трудовым законодательством для данной категории работников (не менее одной</w:t>
            </w:r>
            <w:proofErr w:type="gramEnd"/>
            <w:r>
              <w:t xml:space="preserve"> ставки).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1.3. В случае изменения указанных в настоящем договоре реквизитов своего банковского счета, номера телефона и/или почтового адреса в срок не позднее 10 рабочих дней в письменном виде сообщить Учреждению (Организации) и Комитету о таких изменениях.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1.4. Не предпринимать меры к заключению нового Договора о предоставлении социальной поддержки в течение срока действия настоящего договора и после его прекращения (досрочного расторжения) независимо от оснований его прекращения (расторжения).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2. Молодой специалист гарантирует, что ранее с ним не заключался Договор о предоставлении социальной поддержки, в том числе с участием другого органа исполнительной власти Ленинградской области и/или государственного (муниципального) учреждения (организации).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3. Комитет обязуется: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3.1. </w:t>
            </w:r>
            <w:proofErr w:type="gramStart"/>
            <w:r>
              <w:t xml:space="preserve">В случаях и порядке, определенных </w:t>
            </w:r>
            <w:hyperlink w:anchor="P37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дополнительной меры социальной поддержки молодых специалистов в Ленинградской области в виде единовременной выплаты, утвержденным постановлением Правительства Ленинградской области (далее - Порядок, Постановление), обеспечить ежегодную единовременную выплату Молодому специалисту в размере 100000 (ста тысяч) рублей путем перечисления указанной суммы на банковский счет Молодого специалиста в течение 30 календарных дней со дня окончания каждого года работы</w:t>
            </w:r>
            <w:proofErr w:type="gramEnd"/>
            <w:r>
              <w:t xml:space="preserve"> Молодого специалиста по Трудовому договору, исчисленного в соответствии с Порядком.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3.2. Письменно сообщить Молодому специалисту и Учреждению (Организации) об отмене Постановления или признании судом </w:t>
            </w:r>
            <w:proofErr w:type="gramStart"/>
            <w:r>
              <w:t>Постановления</w:t>
            </w:r>
            <w:proofErr w:type="gramEnd"/>
            <w:r>
              <w:t xml:space="preserve"> противоречащим закону.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3.3. Подготовить и направить Молодому специалисту и Учреждению (Организации) проект дополнительного соглашения к настоящему договору в следующих случаях: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при возникновении необходимости замены Комитета другим органом исполнительной власти Ленинградской области;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proofErr w:type="gramStart"/>
            <w:r>
              <w:t>при возникновении необходимости замены Учреждения (Организации) другим государственным (муниципальным) учреждением (организацией) в связи с переводом Молодого специалиста или принятием решения о реорганизации Учреждения (Организации), не влекущей утраты статуса государственного (муниципального) учреждения (организации) для работодателя.</w:t>
            </w:r>
            <w:proofErr w:type="gramEnd"/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4. Учреждение (Организация) обязуется: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4.1. Соблюдать свои обязательства, вытекающие из Трудового договора.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4.2. Ежегодно до 31 августа очередного календарного года письменно сообщать Комитету о действующих </w:t>
            </w:r>
            <w:proofErr w:type="gramStart"/>
            <w:r>
              <w:t>Договорах</w:t>
            </w:r>
            <w:proofErr w:type="gramEnd"/>
            <w:r>
              <w:t xml:space="preserve"> о предоставлении социальной поддержки с участием Учреждения (Организации) и о прогнозе прекращения и/или заключения таких договоров в следующем календарном году.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4.3. Не </w:t>
            </w:r>
            <w:proofErr w:type="gramStart"/>
            <w:r>
              <w:t>позднее</w:t>
            </w:r>
            <w:proofErr w:type="gramEnd"/>
            <w:r>
              <w:t xml:space="preserve"> чем за пять рабочих дней до даты окончания года работы Молодого специалиста по Трудовому договору, исчисленного в соответствии с Порядком, письменно информировать Комитет об окончании очередного года работы Молодого специалиста.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lastRenderedPageBreak/>
              <w:t>4.4. В случае прекращения Трудового договора по любым основаниям незамедлительно в письменном виде сообщать об этом Комитету.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4.5. В случае принятия решения о ликвидации Учреждения (Организации) либо иного решения, влекущего для Учреждения (Организации) утрату статуса государственного (муниципального) учреждения (организации), письменно сообщить Комитету и представить копию такого решения.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5. Настоящий договор действует </w:t>
            </w:r>
            <w:proofErr w:type="gramStart"/>
            <w:r>
              <w:t>с даты</w:t>
            </w:r>
            <w:proofErr w:type="gramEnd"/>
            <w:r>
              <w:t xml:space="preserve"> его подписания всеми участниками и до даты зачисления на банковский счет Молодого специалиста 300000 (трехсот тысяч) рублей по совокупности перечислений.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5.1. </w:t>
            </w:r>
            <w:proofErr w:type="gramStart"/>
            <w:r>
              <w:t>Исполнение обязательств по настоящему договору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(</w:t>
            </w:r>
            <w:hyperlink r:id="rId10">
              <w:r>
                <w:rPr>
                  <w:color w:val="0000FF"/>
                </w:rPr>
                <w:t>пункт 1 части 1 статьи 83</w:t>
              </w:r>
            </w:hyperlink>
            <w:r>
              <w:t xml:space="preserve"> Трудового кодекса Российской Федерации) до момента повторного заключения Трудового договора при условии его заключения в течение 30 календарных дней со дня окончания военной службы (альтернативной гражданской</w:t>
            </w:r>
            <w:proofErr w:type="gramEnd"/>
            <w:r>
              <w:t xml:space="preserve"> службы) на неопределенный срок на условиях нормальной продолжительности рабочего времени, установленной трудовым законодательством для данной категории работников (не менее одной ставки).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6. Действие настоящего договора автоматически прекращается досрочно: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1) </w:t>
            </w:r>
            <w:proofErr w:type="gramStart"/>
            <w:r>
              <w:t>с даты прекращения</w:t>
            </w:r>
            <w:proofErr w:type="gramEnd"/>
            <w:r>
              <w:t xml:space="preserve"> Трудового договора по любым основаниям, кроме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(</w:t>
            </w:r>
            <w:hyperlink r:id="rId11">
              <w:r>
                <w:rPr>
                  <w:color w:val="0000FF"/>
                </w:rPr>
                <w:t>пункт 1 части 1 статьи 83</w:t>
              </w:r>
            </w:hyperlink>
            <w:r>
              <w:t xml:space="preserve"> Трудового кодекса Российской Федерации);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2)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ликвидации Учреждения (Организации);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3) </w:t>
            </w:r>
            <w:proofErr w:type="gramStart"/>
            <w:r>
              <w:t>с даты принятия</w:t>
            </w:r>
            <w:proofErr w:type="gramEnd"/>
            <w:r>
              <w:t xml:space="preserve"> решения, влекущего для Учреждения (Организации) утрату статуса государственного (муниципального) учреждения (организации);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4) с даты отмены или признания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5) по истечении 20 рабочих дней </w:t>
            </w:r>
            <w:proofErr w:type="gramStart"/>
            <w:r>
              <w:t>с даты получения</w:t>
            </w:r>
            <w:proofErr w:type="gramEnd"/>
            <w:r>
              <w:t xml:space="preserve"> Учреждением (Организацией) повторного письменного уведомления Комитета о необходимости надлежащим образом выполнять обязательства Учреждения (Организации) по настоящему договору, если в течение указанного срока Учреждение (Организация) не выполнило свои обязательства по настоящему договору;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6) несоблюдения молодым специалистом срока заключения трудового договора, указанного в </w:t>
            </w:r>
            <w:hyperlink w:anchor="P84">
              <w:r>
                <w:rPr>
                  <w:color w:val="0000FF"/>
                </w:rPr>
                <w:t>пункте 14</w:t>
              </w:r>
            </w:hyperlink>
            <w:r>
              <w:t xml:space="preserve"> Порядка.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7. Проект дополнительного соглашения к настоящему договору подготавливается и направляется Комитетом другим участникам настоящего договора, которые обязаны в течение 10 рабочих дней с даты их получения подписать дополнительное соглашение и направить его в Комитет либо в этот же срок направить другим участникам настоящего договора свои письменные возражения.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8. Письменные возражения, сообщения и уведомления, предусмотренные настоящим договором, а также прилагаемые к ним документы направляются всем участникам настоящего договора по почте или вручаются лично.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9. Дополнительные соглашения к настоящему договору и их проекты, а также письменные уведомления, предусмотренные настоящим договором, направляются участникам заказным письмом с уведомлением о вручении или вручаются лично.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10. Дополнительные соглашения к настоящему договору оформляются в трех экземплярах и являются его неотъемлемой частью с даты их подписания всеми участниками.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11. Настоящий договор составлен в трех экземплярах - по одному для каждого участника.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12. Адреса участников настоящего договора: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12.1. Почтовый адрес, телефон Молодого специалиста: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blPrEx>
          <w:tblBorders>
            <w:insideH w:val="single" w:sz="4" w:space="0" w:color="auto"/>
          </w:tblBorders>
        </w:tblPrEx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.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ind w:firstLine="283"/>
              <w:jc w:val="both"/>
            </w:pPr>
            <w:r>
              <w:t>12.2. Почтовый адрес, телефон Учреждения (Организации):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blPrEx>
          <w:tblBorders>
            <w:insideH w:val="single" w:sz="4" w:space="0" w:color="auto"/>
          </w:tblBorders>
        </w:tblPrEx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.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E27" w:rsidRDefault="00A82E27">
            <w:pPr>
              <w:pStyle w:val="ConsPlusNormal"/>
              <w:ind w:firstLine="283"/>
              <w:jc w:val="both"/>
            </w:pPr>
            <w:r>
              <w:t>12.3. Почтовый адрес Комитета &lt;*&gt;: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blPrEx>
          <w:tblBorders>
            <w:insideH w:val="single" w:sz="4" w:space="0" w:color="auto"/>
          </w:tblBorders>
        </w:tblPrEx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.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ind w:firstLine="283"/>
              <w:jc w:val="both"/>
            </w:pPr>
            <w:r>
              <w:t>Фамилия, имя, отчество, телефон ответственного исполнителя &lt;*&gt;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blPrEx>
          <w:tblBorders>
            <w:insideH w:val="single" w:sz="4" w:space="0" w:color="auto"/>
          </w:tblBorders>
        </w:tblPrEx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both"/>
            </w:pPr>
            <w:r>
              <w:t>.</w:t>
            </w: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ind w:firstLine="283"/>
              <w:jc w:val="both"/>
            </w:pPr>
            <w:r>
              <w:t>13. К настоящему договору прилагаются: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1) заверенная Учреждением (Организацией) копия Трудового договора;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2) выписка из Единого государственного реестра юридических лиц, выданная Учреждению (Организации) не </w:t>
            </w:r>
            <w:proofErr w:type="gramStart"/>
            <w:r>
              <w:t>позднее</w:t>
            </w:r>
            <w:proofErr w:type="gramEnd"/>
            <w:r>
              <w:t xml:space="preserve"> чем за 30 рабочих дней до даты заключения настоящего договора;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3) заверенная Учреждением (Организацией) копия устава Учреждения (Организации);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4) заверенная Учреждением (Организацией) копия трудовой книжки </w:t>
            </w:r>
            <w:proofErr w:type="gramStart"/>
            <w:r>
              <w:t>и(</w:t>
            </w:r>
            <w:proofErr w:type="gramEnd"/>
            <w:r>
              <w:t>или) сведения о трудовой деятельности Молодого специалиста, предоставляемые из информационных ресурсов Фонда пенсионного и социального страхования Российской Федерации, по форме СТД-СФР;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5) заверенная Учреждением (Организацией) копия заявления о предоставлении дополнительной меры социальной поддержки;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 xml:space="preserve">6) заверенная Учреждением (Организацией) копия документа государственного образца о среднем профессиональном образовании или о высшем образовании (высшем профессиональном образовании), </w:t>
            </w:r>
            <w:proofErr w:type="gramStart"/>
            <w:r>
              <w:t>который</w:t>
            </w:r>
            <w:proofErr w:type="gramEnd"/>
            <w:r>
              <w:t xml:space="preserve"> выдан Молодому специалисту после 1 января 2008 года;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7) заверенная Учреждением (Организацией) копия паспорта Молодого специалиста;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8) заверенная Учреждением (Организацией) копия реквизитов банковского счета Молодого специалиста;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9) заверенная Учреждением (Организацией) копия свидетельства о постановке на учет физического лица в налоговом органе на территории Российской Федерации.</w:t>
            </w:r>
          </w:p>
          <w:p w:rsidR="00A82E27" w:rsidRDefault="00A82E27">
            <w:pPr>
              <w:pStyle w:val="ConsPlusNormal"/>
              <w:ind w:firstLine="283"/>
              <w:jc w:val="both"/>
            </w:pPr>
            <w:r>
              <w:t>14. Подписи участников настоящего договора:</w:t>
            </w:r>
          </w:p>
        </w:tc>
      </w:tr>
    </w:tbl>
    <w:p w:rsidR="00A82E27" w:rsidRDefault="00A82E2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A82E2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Молодой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За 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За Комитет</w:t>
            </w:r>
          </w:p>
        </w:tc>
      </w:tr>
      <w:tr w:rsidR="00A82E27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82E27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(должность, 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(должность, фамилия, инициалы)</w:t>
            </w:r>
          </w:p>
        </w:tc>
      </w:tr>
      <w:tr w:rsidR="00A82E2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</w:tr>
      <w:tr w:rsidR="00A82E2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Место печати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2E27" w:rsidRDefault="00A82E27">
            <w:pPr>
              <w:pStyle w:val="ConsPlusNormal"/>
              <w:jc w:val="center"/>
            </w:pPr>
            <w:r>
              <w:t>Место печати</w:t>
            </w:r>
          </w:p>
        </w:tc>
      </w:tr>
    </w:tbl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  <w:r>
        <w:t>--------------------------------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>&lt;*&gt; Позиции заполняются Комитетом.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jc w:val="right"/>
        <w:outlineLvl w:val="0"/>
      </w:pPr>
      <w:r>
        <w:t>ПРИЛОЖЕНИЕ 3</w:t>
      </w:r>
    </w:p>
    <w:p w:rsidR="00A82E27" w:rsidRDefault="00A82E27">
      <w:pPr>
        <w:pStyle w:val="ConsPlusNormal"/>
        <w:jc w:val="right"/>
      </w:pPr>
      <w:r>
        <w:t>к постановлению Правительства</w:t>
      </w:r>
    </w:p>
    <w:p w:rsidR="00A82E27" w:rsidRDefault="00A82E27">
      <w:pPr>
        <w:pStyle w:val="ConsPlusNormal"/>
        <w:jc w:val="right"/>
      </w:pPr>
      <w:r>
        <w:t>Ленинградской области</w:t>
      </w:r>
    </w:p>
    <w:p w:rsidR="00A82E27" w:rsidRDefault="00A82E27">
      <w:pPr>
        <w:pStyle w:val="ConsPlusNormal"/>
        <w:jc w:val="right"/>
      </w:pPr>
      <w:r>
        <w:t>от 29.12.2023 N 985</w:t>
      </w:r>
    </w:p>
    <w:p w:rsidR="00A82E27" w:rsidRDefault="00A82E27">
      <w:pPr>
        <w:pStyle w:val="ConsPlusNormal"/>
        <w:jc w:val="right"/>
      </w:pPr>
    </w:p>
    <w:p w:rsidR="00A82E27" w:rsidRDefault="00A82E27">
      <w:pPr>
        <w:pStyle w:val="ConsPlusTitle"/>
        <w:jc w:val="center"/>
      </w:pPr>
      <w:bookmarkStart w:id="12" w:name="P270"/>
      <w:bookmarkEnd w:id="12"/>
      <w:r>
        <w:t>ПЕРЕЧЕНЬ</w:t>
      </w:r>
    </w:p>
    <w:p w:rsidR="00A82E27" w:rsidRDefault="00A82E27">
      <w:pPr>
        <w:pStyle w:val="ConsPlusTitle"/>
        <w:jc w:val="center"/>
      </w:pPr>
      <w:r>
        <w:t>ПОСТАНОВЛЕНИЙ ПРАВИТЕЛЬСТВА ЛЕНИНГРАДСКОЙ ОБЛАСТИ, КОТОРЫЕ</w:t>
      </w:r>
    </w:p>
    <w:p w:rsidR="00A82E27" w:rsidRDefault="00A82E27">
      <w:pPr>
        <w:pStyle w:val="ConsPlusTitle"/>
        <w:jc w:val="center"/>
      </w:pPr>
      <w:r>
        <w:t>ПРИЗНАЮТСЯ УТРАТИВШИМИ СИЛУ ПОЛНОСТЬЮ ИЛИ ЧАСТИЧНО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  <w:r>
        <w:t xml:space="preserve">1.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декабря 2007 года N 339 "О социальной поддержке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апреля 2008 года N 70 "О внесении изменений в постановление Правительства Ленинградской области от 28 декабря 2007 года N 339 "О социальной поддержке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3.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апреля 2008 года N 71 "Об утверждении Положения о порядке осуществления мер социальной поддержки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4.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января 2009 года N 10 "О внесении изменения в постановление Правительства Ленинградской области от 28 декабря 2007 года N 339 "О социальной поддержке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5.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 апреля 2009 года N 103 "О внесении изменений в постановление Правительства Ленинградской области от 7 апреля 2008 года N 71 "Об утверждении Положения о порядке осуществления мер социальной поддержки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6. </w:t>
      </w:r>
      <w:hyperlink r:id="rId1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марта 2012 года N 68 "О внесении изменений в постановления Правительства Ленинградской области от 28 декабря 2007 года N 339 "О социальной поддержке молодых специалистов в Ленинградской области" и от 7 апреля 2008 года N 71 "Об утверждении Положения о порядке осуществления мер социальной поддержки молодых специалистов в Ленинградской области".</w:t>
      </w:r>
      <w:proofErr w:type="gramEnd"/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7.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ноября 2013 года N 386 "О внесении изменений в постановление Правительства Ленинградской области от 7 апреля 2008 года N 71 "Об утверждении Положения о порядке осуществления мер социальной поддержки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8.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 ноября 2013 года N 412 "О внесении изменений в постановление Правительства Ленинградской области от 28 декабря 2007 года N 339 "О социальной поддержке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9.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ноября 2013 года N 430 "О </w:t>
      </w:r>
      <w:r>
        <w:lastRenderedPageBreak/>
        <w:t>внесении изменений в отдельные постановления Правительства Ленинградской области в сфере социальной поддержки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10.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апреля 2016 года N 132 "О внесении изменения в постановление Правительства Ленинградской области от 28 декабря 2007 года N 339 "О социальной поддержке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11.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мая 2016 года N 158 "О внесении изменений в постановление Правительства Ленинградской области от 7 апреля 2008 года N 71 "Об утверждении Положения о порядке осуществления мер социальной поддержки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12. </w:t>
      </w:r>
      <w:hyperlink r:id="rId23">
        <w:r>
          <w:rPr>
            <w:color w:val="0000FF"/>
          </w:rPr>
          <w:t>Пункты 1</w:t>
        </w:r>
      </w:hyperlink>
      <w:r>
        <w:t xml:space="preserve"> и </w:t>
      </w:r>
      <w:hyperlink r:id="rId24">
        <w:r>
          <w:rPr>
            <w:color w:val="0000FF"/>
          </w:rPr>
          <w:t>2</w:t>
        </w:r>
      </w:hyperlink>
      <w:r>
        <w:t xml:space="preserve"> приложения к постановлению Правительства Ленинградской области от 15 ноября 2019 года N 527 "О внесении изменений в отдельные постановления Правительства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13. </w:t>
      </w:r>
      <w:hyperlink r:id="rId25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Ленинградской области от 22 июня 2020 года N 429 "О внесении изменений в отдельные постановления Правительства Ленинградской области по вопросам предоставления в Ленинградской области мер поддержки медицинским работникам".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14.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 февраля 2021 года N 120 "О внесении изменений в отдельные постановления Правительства Ленинградской области по вопросам предоставления в Ленинградской области мер поддержки молодым специалистам".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15.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декабря 2021 года N 886 "О внесении изменения в постановление Правительства Ленинградской области от 7 апреля 2008 года N 71 "Об утверждении Положения о порядке осуществления мер социальной поддержки молодых специалистов в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16. </w:t>
      </w:r>
      <w:hyperlink r:id="rId28">
        <w:r>
          <w:rPr>
            <w:color w:val="0000FF"/>
          </w:rPr>
          <w:t>Пункты 1</w:t>
        </w:r>
      </w:hyperlink>
      <w:r>
        <w:t xml:space="preserve"> и </w:t>
      </w:r>
      <w:hyperlink r:id="rId29">
        <w:r>
          <w:rPr>
            <w:color w:val="0000FF"/>
          </w:rPr>
          <w:t>2</w:t>
        </w:r>
      </w:hyperlink>
      <w:r>
        <w:t xml:space="preserve"> постановления Правительства Ленинградской области от 19 июля 2022 года N 492 "О внесении изменений в отдельные постановления Правительства Ленинградской области".</w:t>
      </w:r>
    </w:p>
    <w:p w:rsidR="00A82E27" w:rsidRDefault="00A82E27">
      <w:pPr>
        <w:pStyle w:val="ConsPlusNormal"/>
        <w:spacing w:before="220"/>
        <w:ind w:firstLine="540"/>
        <w:jc w:val="both"/>
      </w:pPr>
      <w:r>
        <w:t xml:space="preserve">17.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 ноября 2023 года N 788 "О внесении изменений в постановление Правительства Ленинградской области от 7 апреля 2008 года N 71 "Об утверждении Положения о порядке осуществления мер социальной поддержки молодых специалистов в Ленинградской области".</w:t>
      </w: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ind w:firstLine="540"/>
        <w:jc w:val="both"/>
      </w:pPr>
    </w:p>
    <w:p w:rsidR="00A82E27" w:rsidRDefault="00A82E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F94" w:rsidRDefault="00933F94"/>
    <w:sectPr w:rsidR="00933F94" w:rsidSect="0034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7"/>
    <w:rsid w:val="00933F94"/>
    <w:rsid w:val="00A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E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2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E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2735" TargetMode="External"/><Relationship Id="rId13" Type="http://schemas.openxmlformats.org/officeDocument/2006/relationships/hyperlink" Target="https://login.consultant.ru/link/?req=doc&amp;base=SPB&amp;n=79277" TargetMode="External"/><Relationship Id="rId18" Type="http://schemas.openxmlformats.org/officeDocument/2006/relationships/hyperlink" Target="https://login.consultant.ru/link/?req=doc&amp;base=SPB&amp;n=141304" TargetMode="External"/><Relationship Id="rId26" Type="http://schemas.openxmlformats.org/officeDocument/2006/relationships/hyperlink" Target="https://login.consultant.ru/link/?req=doc&amp;base=SPB&amp;n=2383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72852" TargetMode="External"/><Relationship Id="rId7" Type="http://schemas.openxmlformats.org/officeDocument/2006/relationships/hyperlink" Target="https://login.consultant.ru/link/?req=doc&amp;base=SPB&amp;n=259403" TargetMode="External"/><Relationship Id="rId12" Type="http://schemas.openxmlformats.org/officeDocument/2006/relationships/hyperlink" Target="https://login.consultant.ru/link/?req=doc&amp;base=SPB&amp;n=259403" TargetMode="External"/><Relationship Id="rId17" Type="http://schemas.openxmlformats.org/officeDocument/2006/relationships/hyperlink" Target="https://login.consultant.ru/link/?req=doc&amp;base=SPB&amp;n=120760" TargetMode="External"/><Relationship Id="rId25" Type="http://schemas.openxmlformats.org/officeDocument/2006/relationships/hyperlink" Target="https://login.consultant.ru/link/?req=doc&amp;base=SPB&amp;n=227693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88578" TargetMode="External"/><Relationship Id="rId20" Type="http://schemas.openxmlformats.org/officeDocument/2006/relationships/hyperlink" Target="https://login.consultant.ru/link/?req=doc&amp;base=SPB&amp;n=141729" TargetMode="External"/><Relationship Id="rId29" Type="http://schemas.openxmlformats.org/officeDocument/2006/relationships/hyperlink" Target="https://login.consultant.ru/link/?req=doc&amp;base=SPB&amp;n=259298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912&amp;dst=100708" TargetMode="External"/><Relationship Id="rId11" Type="http://schemas.openxmlformats.org/officeDocument/2006/relationships/hyperlink" Target="https://login.consultant.ru/link/?req=doc&amp;base=LAW&amp;n=464875&amp;dst=3060" TargetMode="External"/><Relationship Id="rId24" Type="http://schemas.openxmlformats.org/officeDocument/2006/relationships/hyperlink" Target="https://login.consultant.ru/link/?req=doc&amp;base=SPB&amp;n=219106&amp;dst=1000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86553" TargetMode="External"/><Relationship Id="rId23" Type="http://schemas.openxmlformats.org/officeDocument/2006/relationships/hyperlink" Target="https://login.consultant.ru/link/?req=doc&amp;base=SPB&amp;n=219106&amp;dst=100010" TargetMode="External"/><Relationship Id="rId28" Type="http://schemas.openxmlformats.org/officeDocument/2006/relationships/hyperlink" Target="https://login.consultant.ru/link/?req=doc&amp;base=SPB&amp;n=259298&amp;dst=100005" TargetMode="External"/><Relationship Id="rId10" Type="http://schemas.openxmlformats.org/officeDocument/2006/relationships/hyperlink" Target="https://login.consultant.ru/link/?req=doc&amp;base=LAW&amp;n=464875&amp;dst=3060" TargetMode="External"/><Relationship Id="rId19" Type="http://schemas.openxmlformats.org/officeDocument/2006/relationships/hyperlink" Target="https://login.consultant.ru/link/?req=doc&amp;base=SPB&amp;n=14131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5&amp;dst=100547" TargetMode="External"/><Relationship Id="rId14" Type="http://schemas.openxmlformats.org/officeDocument/2006/relationships/hyperlink" Target="https://login.consultant.ru/link/?req=doc&amp;base=SPB&amp;n=282735" TargetMode="External"/><Relationship Id="rId22" Type="http://schemas.openxmlformats.org/officeDocument/2006/relationships/hyperlink" Target="https://login.consultant.ru/link/?req=doc&amp;base=SPB&amp;n=173665" TargetMode="External"/><Relationship Id="rId27" Type="http://schemas.openxmlformats.org/officeDocument/2006/relationships/hyperlink" Target="https://login.consultant.ru/link/?req=doc&amp;base=SPB&amp;n=250933" TargetMode="External"/><Relationship Id="rId30" Type="http://schemas.openxmlformats.org/officeDocument/2006/relationships/hyperlink" Target="https://login.consultant.ru/link/?req=doc&amp;base=SPB&amp;n=282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Константиновна Виленская</dc:creator>
  <cp:lastModifiedBy>Екатерина Константиновна Виленская</cp:lastModifiedBy>
  <cp:revision>1</cp:revision>
  <dcterms:created xsi:type="dcterms:W3CDTF">2024-01-15T07:35:00Z</dcterms:created>
  <dcterms:modified xsi:type="dcterms:W3CDTF">2024-01-15T07:35:00Z</dcterms:modified>
</cp:coreProperties>
</file>